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EB7077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B7077" w:rsidRPr="0045523E" w:rsidRDefault="00EB7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EB7077" w:rsidRPr="0045523E" w:rsidRDefault="00EB7077" w:rsidP="00EB7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Dos  (2)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EB7077" w:rsidRPr="0045523E" w:rsidTr="00651979">
        <w:trPr>
          <w:tblHeader/>
        </w:trPr>
        <w:tc>
          <w:tcPr>
            <w:tcW w:w="3738" w:type="dxa"/>
            <w:tcBorders>
              <w:bottom w:val="single" w:sz="4" w:space="0" w:color="auto"/>
            </w:tcBorders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Supervisión Directa</w:t>
            </w:r>
          </w:p>
        </w:tc>
      </w:tr>
      <w:tr w:rsidR="00EB7077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Pr="0045523E" w:rsidRDefault="00EB7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EB7077" w:rsidRPr="0045523E" w:rsidRDefault="00EB7077" w:rsidP="00EB7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EB7077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Default="00EB7077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EB7077" w:rsidRPr="0045523E" w:rsidRDefault="00EB7077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SUBDIRECCIÓN DE GESTIÓN AMBIENTAL</w:t>
            </w:r>
          </w:p>
        </w:tc>
      </w:tr>
      <w:tr w:rsidR="00EB7077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Pr="0045523E" w:rsidRDefault="00EB7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EB7077" w:rsidRPr="0045523E" w:rsidRDefault="00EB7077" w:rsidP="00EB7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PROPÓSITO PRINCIPAL DEL CARGO</w:t>
            </w:r>
          </w:p>
        </w:tc>
      </w:tr>
      <w:tr w:rsidR="00EB7077" w:rsidRPr="0045523E" w:rsidTr="00651979"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noProof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Prestar asistencia juridica a la dependencia responsable de la Gestion Ambiental y a los Ecosistemas de la Corporacion orientados a salvaguardar el principio de juridicidad de los actos publicos de la Corporacion en la aplicación </w:t>
            </w:r>
            <w:r w:rsidRPr="0045523E">
              <w:rPr>
                <w:rFonts w:ascii="Arial" w:hAnsi="Arial" w:cs="Arial"/>
              </w:rPr>
              <w:t>a los trámites para el uso y aprovechamiento de los recursos naturales renovables y del medio ambiente así como el control y seguimiento de la gestión ambiental.</w:t>
            </w:r>
          </w:p>
          <w:p w:rsidR="00EB7077" w:rsidRPr="0045523E" w:rsidRDefault="00EB7077" w:rsidP="00651979">
            <w:pPr>
              <w:spacing w:after="0"/>
              <w:rPr>
                <w:rFonts w:ascii="Arial" w:hAnsi="Arial" w:cs="Arial"/>
                <w:noProof/>
              </w:rPr>
            </w:pPr>
          </w:p>
        </w:tc>
      </w:tr>
      <w:tr w:rsidR="00EB7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Pr="0045523E" w:rsidRDefault="00EB7077" w:rsidP="00EB7077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EB707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</w:t>
            </w:r>
            <w:r w:rsidR="00FF4792">
              <w:rPr>
                <w:rFonts w:ascii="Arial" w:hAnsi="Arial" w:cs="Arial"/>
              </w:rPr>
              <w:t>Subdirección de Gestión Ambiental</w:t>
            </w:r>
            <w:r w:rsidR="00FF4792" w:rsidRPr="0045523E"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que sean de su competencia.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EB7077" w:rsidRPr="0045523E" w:rsidRDefault="00EB7077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EB7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Pr="0045523E" w:rsidRDefault="00EB7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EB7077" w:rsidRPr="0045523E" w:rsidRDefault="00EB7077" w:rsidP="00EB7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CONOCIMIENTOS </w:t>
            </w:r>
            <w:proofErr w:type="spellStart"/>
            <w:r w:rsidRPr="0045523E">
              <w:rPr>
                <w:rFonts w:ascii="Arial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O ESENCIALES</w:t>
            </w:r>
          </w:p>
        </w:tc>
      </w:tr>
      <w:tr w:rsidR="00EB707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 de la organización, procesos y procedimientos aprobados de la Corporación.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 de la cultura organizacional, normas y políticas de la Entidad.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 del Plan de Acción Ambiental  de la Corporación.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 de los Estatutos de la Corporación.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 e interpretación de la  Normatividad vigente en materia ambiental no in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 e interpretación de la normatividad sobre peticiones, quejas y reclamos.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Técnicas de comunicación.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Métodos de estudio e investigación.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de tecnología de la información y de la comunicación.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Cursos, diplomados o seminarios de actualización legal ambiental asistidos en los últimos dos años</w:t>
            </w:r>
          </w:p>
          <w:p w:rsidR="00EB7077" w:rsidRPr="0045523E" w:rsidRDefault="00EB7077" w:rsidP="00EB7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</w:tc>
      </w:tr>
      <w:tr w:rsidR="00EB7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Pr="0045523E" w:rsidRDefault="00EB7077" w:rsidP="00EB7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lastRenderedPageBreak/>
              <w:t xml:space="preserve"> REQUISITOS DE ESTUDIOS Y EXPERIENCIA </w:t>
            </w:r>
          </w:p>
        </w:tc>
      </w:tr>
      <w:tr w:rsidR="00EB707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EB7077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 del conocimiento en: Derecho y afines.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posgrado en la modalidad de especialización en el área relacionada en las funciones del cargo.                       </w:t>
            </w: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EB7077" w:rsidRPr="0045523E" w:rsidRDefault="00EB7077" w:rsidP="00FF4792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Trece (13) meses de experiencia profesional relacionada.</w:t>
            </w:r>
          </w:p>
        </w:tc>
      </w:tr>
      <w:tr w:rsidR="00EB7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Pr="0045523E" w:rsidRDefault="00EB7077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EB707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EB7077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y viceversa, siempre que se acredite el título profesional.</w:t>
            </w:r>
          </w:p>
          <w:p w:rsidR="00EB7077" w:rsidRPr="0045523E" w:rsidRDefault="00EB7077" w:rsidP="00FF47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EB7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7077" w:rsidRDefault="00EB7077" w:rsidP="00EB7077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EB7077" w:rsidRPr="0045523E" w:rsidRDefault="00EB7077" w:rsidP="00EB7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EB707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EB7077" w:rsidRPr="0045523E" w:rsidRDefault="00EB7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B7077" w:rsidRPr="0045523E" w:rsidRDefault="00EB7077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EB7077" w:rsidRPr="0045523E" w:rsidRDefault="00EB7077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EB7077" w:rsidRPr="0045523E" w:rsidTr="00651979">
        <w:tc>
          <w:tcPr>
            <w:tcW w:w="4320" w:type="dxa"/>
            <w:gridSpan w:val="3"/>
          </w:tcPr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:rsidR="00EB7077" w:rsidRPr="0045523E" w:rsidRDefault="00EB7077" w:rsidP="00EB7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709" w:rsidRDefault="00046709" w:rsidP="0080452C">
      <w:pPr>
        <w:spacing w:after="0" w:line="240" w:lineRule="auto"/>
      </w:pPr>
      <w:r>
        <w:separator/>
      </w:r>
    </w:p>
  </w:endnote>
  <w:endnote w:type="continuationSeparator" w:id="0">
    <w:p w:rsidR="00046709" w:rsidRDefault="00046709" w:rsidP="0080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BA036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709" w:rsidRDefault="00046709" w:rsidP="0080452C">
      <w:pPr>
        <w:spacing w:after="0" w:line="240" w:lineRule="auto"/>
      </w:pPr>
      <w:r>
        <w:separator/>
      </w:r>
    </w:p>
  </w:footnote>
  <w:footnote w:type="continuationSeparator" w:id="0">
    <w:p w:rsidR="00046709" w:rsidRDefault="00046709" w:rsidP="00804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0452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0452C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04670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4670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A036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04670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80452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0452C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BA036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046709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046709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BA036D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BA036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A036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A036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BA036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8045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8045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F479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8045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8045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8045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F479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80452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BA036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BA036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046709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80452C" w:rsidP="00FA6F05">
    <w:pPr>
      <w:pStyle w:val="Encabezado"/>
      <w:rPr>
        <w:rFonts w:ascii="Arial" w:hAnsi="Arial" w:cs="Arial"/>
        <w:sz w:val="6"/>
        <w:szCs w:val="6"/>
      </w:rPr>
    </w:pPr>
    <w:r w:rsidRPr="0080452C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BA036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BA036D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80452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80452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80452C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80452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80452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80452C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09B7"/>
    <w:multiLevelType w:val="hybridMultilevel"/>
    <w:tmpl w:val="B4E8A99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B7077"/>
    <w:rsid w:val="00046709"/>
    <w:rsid w:val="000A1E27"/>
    <w:rsid w:val="00735758"/>
    <w:rsid w:val="0080452C"/>
    <w:rsid w:val="00A96899"/>
    <w:rsid w:val="00AD7522"/>
    <w:rsid w:val="00BA036D"/>
    <w:rsid w:val="00EB7077"/>
    <w:rsid w:val="00FC5584"/>
    <w:rsid w:val="00FF4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077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B707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B7077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B707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B7077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EB7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753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2015-11-11T14:22:00Z</dcterms:created>
  <dcterms:modified xsi:type="dcterms:W3CDTF">2015-12-29T15:33:00Z</dcterms:modified>
</cp:coreProperties>
</file>